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3BB7">
      <w:pPr>
        <w:tabs>
          <w:tab w:val="left" w:pos="1290"/>
        </w:tabs>
        <w:overflowPunct w:val="0"/>
        <w:spacing w:line="600" w:lineRule="exact"/>
        <w:rPr>
          <w:rFonts w:eastAsia="仿宋_GB2312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附件</w:t>
      </w:r>
      <w:r>
        <w:rPr>
          <w:rFonts w:hint="eastAsia" w:eastAsia="仿宋_GB2312"/>
          <w:color w:val="000000"/>
          <w:sz w:val="31"/>
          <w:szCs w:val="28"/>
        </w:rPr>
        <w:t>7</w:t>
      </w:r>
    </w:p>
    <w:p w14:paraId="4F3CB8B8">
      <w:pPr>
        <w:tabs>
          <w:tab w:val="left" w:pos="7371"/>
          <w:tab w:val="left" w:pos="7513"/>
        </w:tabs>
        <w:overflowPunct w:val="0"/>
        <w:spacing w:before="93" w:beforeLines="30" w:after="93" w:afterLines="30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煤炭洗选建设项目进展情况表</w:t>
      </w:r>
      <w:bookmarkEnd w:id="0"/>
    </w:p>
    <w:p w14:paraId="2EACA4F4">
      <w:pPr>
        <w:tabs>
          <w:tab w:val="left" w:pos="1290"/>
        </w:tabs>
        <w:overflowPunct w:val="0"/>
        <w:spacing w:line="60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填报单位：                                                                                              年   月   日</w:t>
      </w:r>
    </w:p>
    <w:tbl>
      <w:tblPr>
        <w:tblStyle w:val="3"/>
        <w:tblW w:w="13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65"/>
        <w:gridCol w:w="624"/>
        <w:gridCol w:w="624"/>
        <w:gridCol w:w="694"/>
        <w:gridCol w:w="624"/>
        <w:gridCol w:w="624"/>
        <w:gridCol w:w="751"/>
        <w:gridCol w:w="859"/>
        <w:gridCol w:w="990"/>
        <w:gridCol w:w="852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7AD0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restart"/>
            <w:shd w:val="clear" w:color="auto" w:fill="auto"/>
            <w:noWrap w:val="0"/>
            <w:vAlign w:val="center"/>
          </w:tcPr>
          <w:p w14:paraId="727D0A7B">
            <w:pPr>
              <w:overflowPunct w:val="0"/>
              <w:jc w:val="center"/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24" w:type="dxa"/>
            <w:vMerge w:val="restart"/>
            <w:shd w:val="clear" w:color="auto" w:fill="auto"/>
            <w:noWrap w:val="0"/>
            <w:vAlign w:val="center"/>
          </w:tcPr>
          <w:p w14:paraId="4D68282F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24" w:type="dxa"/>
            <w:vMerge w:val="restart"/>
            <w:shd w:val="clear" w:color="auto" w:fill="auto"/>
            <w:noWrap w:val="0"/>
            <w:vAlign w:val="center"/>
          </w:tcPr>
          <w:p w14:paraId="1C045735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建设单位</w:t>
            </w:r>
          </w:p>
        </w:tc>
        <w:tc>
          <w:tcPr>
            <w:tcW w:w="694" w:type="dxa"/>
            <w:vMerge w:val="restart"/>
            <w:shd w:val="clear" w:color="auto" w:fill="auto"/>
            <w:noWrap w:val="0"/>
            <w:vAlign w:val="center"/>
          </w:tcPr>
          <w:p w14:paraId="6D32FA01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建设地点</w:t>
            </w:r>
          </w:p>
        </w:tc>
        <w:tc>
          <w:tcPr>
            <w:tcW w:w="624" w:type="dxa"/>
            <w:vMerge w:val="restart"/>
            <w:shd w:val="clear" w:color="auto" w:fill="auto"/>
            <w:noWrap w:val="0"/>
            <w:vAlign w:val="center"/>
          </w:tcPr>
          <w:p w14:paraId="38D3844A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建设</w:t>
            </w:r>
          </w:p>
          <w:p w14:paraId="06949AC8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规模</w:t>
            </w:r>
          </w:p>
        </w:tc>
        <w:tc>
          <w:tcPr>
            <w:tcW w:w="624" w:type="dxa"/>
            <w:vMerge w:val="restart"/>
            <w:shd w:val="clear" w:color="auto" w:fill="auto"/>
            <w:noWrap w:val="0"/>
            <w:vAlign w:val="center"/>
          </w:tcPr>
          <w:p w14:paraId="0571BD97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建设</w:t>
            </w:r>
          </w:p>
          <w:p w14:paraId="6920B4FF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阶段</w:t>
            </w:r>
          </w:p>
        </w:tc>
        <w:tc>
          <w:tcPr>
            <w:tcW w:w="751" w:type="dxa"/>
            <w:vMerge w:val="restart"/>
            <w:shd w:val="clear" w:color="auto" w:fill="auto"/>
            <w:noWrap w:val="0"/>
            <w:vAlign w:val="center"/>
          </w:tcPr>
          <w:p w14:paraId="5D741D59">
            <w:pPr>
              <w:overflowPunct w:val="0"/>
              <w:jc w:val="center"/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  <w:p w14:paraId="5871ADE9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（煤矿配套/社会</w:t>
            </w:r>
          </w:p>
          <w:p w14:paraId="00E3DE71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独立）</w:t>
            </w:r>
          </w:p>
        </w:tc>
        <w:tc>
          <w:tcPr>
            <w:tcW w:w="859" w:type="dxa"/>
            <w:vMerge w:val="restart"/>
            <w:shd w:val="clear" w:color="auto" w:fill="auto"/>
            <w:noWrap w:val="0"/>
            <w:vAlign w:val="center"/>
          </w:tcPr>
          <w:p w14:paraId="378C0689">
            <w:pPr>
              <w:overflowPunct w:val="0"/>
              <w:jc w:val="center"/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总概算</w:t>
            </w:r>
          </w:p>
          <w:p w14:paraId="55C52BB7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90" w:type="dxa"/>
            <w:vMerge w:val="restart"/>
            <w:shd w:val="clear" w:color="auto" w:fill="auto"/>
            <w:noWrap w:val="0"/>
            <w:vAlign w:val="center"/>
          </w:tcPr>
          <w:p w14:paraId="5CA1D73F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截至</w:t>
            </w:r>
          </w:p>
          <w:p w14:paraId="521233AC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上季度末已完成</w:t>
            </w:r>
          </w:p>
          <w:p w14:paraId="29934791">
            <w:pPr>
              <w:overflowPunct w:val="0"/>
              <w:jc w:val="center"/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投资</w:t>
            </w:r>
          </w:p>
          <w:p w14:paraId="713105AC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52" w:type="dxa"/>
            <w:vMerge w:val="restart"/>
            <w:shd w:val="clear" w:color="auto" w:fill="auto"/>
            <w:noWrap w:val="0"/>
            <w:vAlign w:val="center"/>
          </w:tcPr>
          <w:p w14:paraId="645B73C2">
            <w:pPr>
              <w:overflowPunct w:val="0"/>
              <w:jc w:val="center"/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开工（计划开工）时间</w:t>
            </w:r>
          </w:p>
          <w:p w14:paraId="5717B147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（年月）</w:t>
            </w:r>
          </w:p>
        </w:tc>
        <w:tc>
          <w:tcPr>
            <w:tcW w:w="851" w:type="dxa"/>
            <w:vMerge w:val="restart"/>
            <w:shd w:val="clear" w:color="auto" w:fill="auto"/>
            <w:noWrap w:val="0"/>
            <w:vAlign w:val="center"/>
          </w:tcPr>
          <w:p w14:paraId="56155878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预计</w:t>
            </w:r>
          </w:p>
          <w:p w14:paraId="460D700F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竣工</w:t>
            </w:r>
          </w:p>
          <w:p w14:paraId="19EA69A9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  <w:p w14:paraId="460C5FE7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（年月）</w:t>
            </w:r>
          </w:p>
        </w:tc>
        <w:tc>
          <w:tcPr>
            <w:tcW w:w="4536" w:type="dxa"/>
            <w:gridSpan w:val="8"/>
            <w:shd w:val="clear" w:color="auto" w:fill="auto"/>
            <w:noWrap w:val="0"/>
            <w:vAlign w:val="center"/>
          </w:tcPr>
          <w:p w14:paraId="7ADB8E37">
            <w:pPr>
              <w:overflowPunct w:val="0"/>
              <w:jc w:val="center"/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手续办理情况</w:t>
            </w:r>
          </w:p>
        </w:tc>
        <w:tc>
          <w:tcPr>
            <w:tcW w:w="567" w:type="dxa"/>
            <w:vMerge w:val="restart"/>
            <w:shd w:val="clear" w:color="auto" w:fill="auto"/>
            <w:noWrap w:val="0"/>
            <w:vAlign w:val="center"/>
          </w:tcPr>
          <w:p w14:paraId="386162AC">
            <w:pPr>
              <w:overflowPunct w:val="0"/>
              <w:jc w:val="center"/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工程建设进度</w:t>
            </w:r>
          </w:p>
        </w:tc>
        <w:tc>
          <w:tcPr>
            <w:tcW w:w="567" w:type="dxa"/>
            <w:vMerge w:val="restart"/>
            <w:shd w:val="clear" w:color="auto" w:fill="auto"/>
            <w:noWrap w:val="0"/>
            <w:vAlign w:val="center"/>
          </w:tcPr>
          <w:p w14:paraId="456A409E">
            <w:pPr>
              <w:overflowPunct w:val="0"/>
              <w:jc w:val="center"/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77A5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shd w:val="clear" w:color="auto" w:fill="auto"/>
            <w:noWrap w:val="0"/>
            <w:vAlign w:val="top"/>
          </w:tcPr>
          <w:p w14:paraId="7A193786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shd w:val="clear" w:color="auto" w:fill="auto"/>
            <w:noWrap w:val="0"/>
            <w:vAlign w:val="top"/>
          </w:tcPr>
          <w:p w14:paraId="6C25A77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shd w:val="clear" w:color="auto" w:fill="auto"/>
            <w:noWrap w:val="0"/>
            <w:vAlign w:val="top"/>
          </w:tcPr>
          <w:p w14:paraId="343F725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vMerge w:val="continue"/>
            <w:shd w:val="clear" w:color="auto" w:fill="auto"/>
            <w:noWrap w:val="0"/>
            <w:vAlign w:val="top"/>
          </w:tcPr>
          <w:p w14:paraId="11B67A86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shd w:val="clear" w:color="auto" w:fill="auto"/>
            <w:noWrap w:val="0"/>
            <w:vAlign w:val="top"/>
          </w:tcPr>
          <w:p w14:paraId="138F0AE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shd w:val="clear" w:color="auto" w:fill="auto"/>
            <w:noWrap w:val="0"/>
            <w:vAlign w:val="top"/>
          </w:tcPr>
          <w:p w14:paraId="53D1E2D3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shd w:val="clear" w:color="auto" w:fill="auto"/>
            <w:noWrap w:val="0"/>
            <w:vAlign w:val="top"/>
          </w:tcPr>
          <w:p w14:paraId="7649007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shd w:val="clear" w:color="auto" w:fill="auto"/>
            <w:noWrap w:val="0"/>
            <w:vAlign w:val="top"/>
          </w:tcPr>
          <w:p w14:paraId="60072B7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 w:val="0"/>
            <w:vAlign w:val="top"/>
          </w:tcPr>
          <w:p w14:paraId="29987087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shd w:val="clear" w:color="auto" w:fill="auto"/>
            <w:noWrap w:val="0"/>
            <w:vAlign w:val="top"/>
          </w:tcPr>
          <w:p w14:paraId="42020FE1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shd w:val="clear" w:color="auto" w:fill="auto"/>
            <w:noWrap w:val="0"/>
            <w:vAlign w:val="top"/>
          </w:tcPr>
          <w:p w14:paraId="38A388B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5B6D646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初步设计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9D8681D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环境影响评价报告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448DED7E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安全设施设计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700EE9E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消防设计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63AB29E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水土保持意见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47539A7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节能审查意见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37A6AAE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用地手续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1269B3B">
            <w:pPr>
              <w:overflowPunct w:val="0"/>
              <w:jc w:val="center"/>
              <w:rPr>
                <w:rFonts w:cs="方正小标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b/>
                <w:bCs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 w14:paraId="645FD6B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 w14:paraId="7BB2C425">
            <w:pPr>
              <w:tabs>
                <w:tab w:val="left" w:pos="1260"/>
                <w:tab w:val="left" w:pos="1470"/>
              </w:tabs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</w:tr>
      <w:tr w14:paraId="39F7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65" w:type="dxa"/>
            <w:shd w:val="clear" w:color="auto" w:fill="auto"/>
            <w:noWrap w:val="0"/>
            <w:vAlign w:val="center"/>
          </w:tcPr>
          <w:p w14:paraId="2499442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53FB7FCA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1DB755A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noWrap w:val="0"/>
            <w:vAlign w:val="center"/>
          </w:tcPr>
          <w:p w14:paraId="64E91E9A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6074E760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77E2E421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417B2F55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4FE846F8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1EE447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74DDC0D6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045F35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7359546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DC2BB77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0F643D1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678432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84B380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4BAB2C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6A2E5CC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6B66EAB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7DFC6551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49840566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</w:tr>
      <w:tr w14:paraId="0AA7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65" w:type="dxa"/>
            <w:shd w:val="clear" w:color="auto" w:fill="auto"/>
            <w:noWrap w:val="0"/>
            <w:vAlign w:val="center"/>
          </w:tcPr>
          <w:p w14:paraId="72D0EE08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23D2AE17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7239B9B4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noWrap w:val="0"/>
            <w:vAlign w:val="center"/>
          </w:tcPr>
          <w:p w14:paraId="5FAB3A94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576FC045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4DDF573A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056DAC8B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78603C3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0FC8A13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5AE7425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3AAB378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772CECD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00BA641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EE9EB4D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E41EB6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7B1BA19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C2B2908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B4A3515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4FC545C8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4B883B50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79B7FE44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</w:tr>
      <w:tr w14:paraId="32A4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65" w:type="dxa"/>
            <w:shd w:val="clear" w:color="auto" w:fill="auto"/>
            <w:noWrap w:val="0"/>
            <w:vAlign w:val="center"/>
          </w:tcPr>
          <w:p w14:paraId="043583DC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5BFF7587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71487071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noWrap w:val="0"/>
            <w:vAlign w:val="center"/>
          </w:tcPr>
          <w:p w14:paraId="521504F0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6EC2D574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02D88258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731C57FC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04A45350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9105C93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6ABC9317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6A6A79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FB5696A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7C097F6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90C8FBB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55B9D1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19F5440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7D78F3DB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281657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024E8A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6D1EE64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0CB1763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</w:tr>
      <w:tr w14:paraId="7913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65" w:type="dxa"/>
            <w:shd w:val="clear" w:color="auto" w:fill="auto"/>
            <w:noWrap w:val="0"/>
            <w:vAlign w:val="center"/>
          </w:tcPr>
          <w:p w14:paraId="0E33A8A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4E0BAE44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310A7215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noWrap w:val="0"/>
            <w:vAlign w:val="center"/>
          </w:tcPr>
          <w:p w14:paraId="20B4EA85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7D21F534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054CB448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3CE34270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57AB4615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3BCE870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6FE0E87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E199C3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74AE1EC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1BC42E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86A5A76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421F6A0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48D734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928E337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0A56C51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27AFE9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448424A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760E374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</w:tr>
      <w:tr w14:paraId="557F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65" w:type="dxa"/>
            <w:shd w:val="clear" w:color="auto" w:fill="auto"/>
            <w:noWrap w:val="0"/>
            <w:vAlign w:val="center"/>
          </w:tcPr>
          <w:p w14:paraId="246A69F5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方正小标宋简体"/>
                <w:color w:val="000000"/>
                <w:kern w:val="0"/>
                <w:sz w:val="20"/>
                <w:szCs w:val="20"/>
              </w:rPr>
              <w:t>...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0E77DCA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631E20B3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noWrap w:val="0"/>
            <w:vAlign w:val="center"/>
          </w:tcPr>
          <w:p w14:paraId="66414331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4B7E31E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53C86317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4CB15F6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6D6DD2A5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2029C12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483F1447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D93A7D3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CC09FF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09CBFC5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10005C7E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DC1CE19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9B58610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6E73E53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0481AC4B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0D8995FB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58E783CF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EE9D52A">
            <w:pPr>
              <w:overflowPunct w:val="0"/>
              <w:jc w:val="center"/>
              <w:rPr>
                <w:rFonts w:cs="方正小标宋简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2F2C081">
      <w:pPr>
        <w:tabs>
          <w:tab w:val="left" w:pos="1290"/>
        </w:tabs>
        <w:overflowPunct w:val="0"/>
        <w:spacing w:line="500" w:lineRule="exac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单位负责人：                                    填表人：                                     联系电话：</w:t>
      </w:r>
    </w:p>
    <w:p w14:paraId="3EE0B212">
      <w:r>
        <w:rPr>
          <w:rFonts w:hint="eastAsia"/>
          <w:color w:val="000000"/>
          <w:sz w:val="22"/>
          <w:szCs w:val="22"/>
        </w:rPr>
        <w:t>备注：“建设阶段”按“未批初设、批复初步设计、批复开工、停缓建、联合试运转、竣工验收”等填写，“手续办理情况”已办理的填写证件号或者批复文号，未办理的填写“未办理”。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RmN2IxNjk2NzlmNDI0OGUwYzJmZDFkN2E4ODkifQ=="/>
  </w:docVars>
  <w:rsids>
    <w:rsidRoot w:val="50816D73"/>
    <w:rsid w:val="5081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2024-07-25T09:46:00Z</dcterms:created>
  <dc:creator>艾鑫儿</dc:creator>
  <cp:lastModifiedBy>艾鑫儿</cp:lastModifiedBy>
  <dcterms:modified xsi:type="dcterms:W3CDTF">2024-07-25T09:46:31Z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751796B2A650435B823115D1EF566015_11</vt:lpwstr>
  </property>
</Properties>
</file>